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2D" w:rsidRPr="006A632D" w:rsidRDefault="00F94E2D" w:rsidP="006A632D">
      <w:pPr>
        <w:rPr>
          <w:rFonts w:ascii="Arial" w:hAnsi="Arial" w:cs="Arial"/>
          <w:sz w:val="20"/>
          <w:szCs w:val="20"/>
        </w:rPr>
        <w:sectPr w:rsidR="006A632D" w:rsidRPr="006A632D" w:rsidSect="00F4340A">
          <w:headerReference w:type="even" r:id="rId9"/>
          <w:headerReference w:type="default" r:id="rId10"/>
          <w:footerReference w:type="even" r:id="rId11"/>
          <w:footerReference w:type="default" r:id="rId12"/>
          <w:headerReference w:type="first" r:id="rId13"/>
          <w:footerReference w:type="first" r:id="rId14"/>
          <w:pgSz w:w="15840" w:h="12240" w:orient="landscape"/>
          <w:pgMar w:top="288" w:right="720" w:bottom="288" w:left="720" w:header="144" w:footer="720" w:gutter="0"/>
          <w:cols w:sep="1" w:space="720"/>
          <w:docGrid w:linePitch="360"/>
        </w:sectPr>
      </w:pPr>
      <w:bookmarkStart w:id="0" w:name="_GoBack"/>
      <w:bookmarkEnd w:id="0"/>
      <w:r>
        <w:rPr>
          <w:noProof/>
        </w:rPr>
        <w:drawing>
          <wp:inline distT="0" distB="0" distL="0" distR="0" wp14:anchorId="0B0DF4B5" wp14:editId="317186BE">
            <wp:extent cx="933450" cy="7715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ogo-blue-small.jpg"/>
                    <pic:cNvPicPr/>
                  </pic:nvPicPr>
                  <pic:blipFill>
                    <a:blip r:embed="rId15">
                      <a:extLst>
                        <a:ext uri="{28A0092B-C50C-407E-A947-70E740481C1C}">
                          <a14:useLocalDpi xmlns:a14="http://schemas.microsoft.com/office/drawing/2010/main" val="0"/>
                        </a:ext>
                      </a:extLst>
                    </a:blip>
                    <a:stretch>
                      <a:fillRect/>
                    </a:stretch>
                  </pic:blipFill>
                  <pic:spPr>
                    <a:xfrm>
                      <a:off x="0" y="0"/>
                      <a:ext cx="940052" cy="776981"/>
                    </a:xfrm>
                    <a:prstGeom prst="rect">
                      <a:avLst/>
                    </a:prstGeom>
                  </pic:spPr>
                </pic:pic>
              </a:graphicData>
            </a:graphic>
          </wp:inline>
        </w:drawing>
      </w:r>
      <w:r w:rsidR="00F4340A" w:rsidRPr="00F4340A">
        <w:rPr>
          <w:rFonts w:ascii="Arial" w:hAnsi="Arial" w:cs="Arial"/>
          <w:b/>
          <w:i/>
          <w:noProof/>
        </w:rPr>
        <mc:AlternateContent>
          <mc:Choice Requires="wps">
            <w:drawing>
              <wp:anchor distT="91440" distB="91440" distL="182880" distR="182880" simplePos="0" relativeHeight="251659264" behindDoc="1" locked="0" layoutInCell="0" allowOverlap="1" wp14:anchorId="523048E9" wp14:editId="2169E8E4">
                <wp:simplePos x="0" y="0"/>
                <wp:positionH relativeFrom="margin">
                  <wp:posOffset>2676525</wp:posOffset>
                </wp:positionH>
                <wp:positionV relativeFrom="margin">
                  <wp:posOffset>-57150</wp:posOffset>
                </wp:positionV>
                <wp:extent cx="2377440" cy="86677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66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sz w:val="28"/>
                                <w:szCs w:val="28"/>
                              </w:rPr>
                            </w:pPr>
                            <w:r w:rsidRPr="00F4340A">
                              <w:rPr>
                                <w:rFonts w:ascii="Arial" w:hAnsi="Arial" w:cs="Arial"/>
                                <w:b/>
                                <w:iCs/>
                                <w:color w:val="6076B4" w:themeColor="accent1"/>
                                <w:sz w:val="28"/>
                                <w:szCs w:val="28"/>
                              </w:rPr>
                              <w:t>America</w:t>
                            </w:r>
                            <w:r>
                              <w:rPr>
                                <w:rFonts w:ascii="Arial" w:hAnsi="Arial" w:cs="Arial"/>
                                <w:b/>
                                <w:iCs/>
                                <w:color w:val="6076B4" w:themeColor="accent1"/>
                                <w:sz w:val="28"/>
                                <w:szCs w:val="28"/>
                              </w:rPr>
                              <w:t>n Subcontractors</w:t>
                            </w:r>
                            <w:r w:rsidRPr="00F4340A">
                              <w:rPr>
                                <w:rFonts w:ascii="Arial" w:hAnsi="Arial" w:cs="Arial"/>
                                <w:b/>
                                <w:iCs/>
                                <w:color w:val="6076B4" w:themeColor="accent1"/>
                                <w:sz w:val="28"/>
                                <w:szCs w:val="28"/>
                              </w:rPr>
                              <w:t xml:space="preserve"> Association, Inc.</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Subcontractor’s Negotiating Tip Sheet</w:t>
                            </w:r>
                          </w:p>
                          <w:p w:rsidR="00F4340A" w:rsidRPr="00F4340A" w:rsidRDefault="008530C9">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Pr>
                                <w:rFonts w:ascii="Arial" w:hAnsi="Arial" w:cs="Arial"/>
                                <w:b/>
                                <w:iCs/>
                                <w:color w:val="6076B4" w:themeColor="accent1"/>
                              </w:rPr>
                              <w:t>Prospective Waiver of Rights</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Rectangle 386" o:spid="_x0000_s1026" style="position:absolute;margin-left:210.75pt;margin-top:-4.5pt;width:187.2pt;height:68.25pt;z-index:-25165721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ap/wIAAEw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" o:allowincell="f" filled="f" stroked="f" strokecolor="#90b5e3" strokeweight="6pt">
                <v:shadow on="t" type="perspective" color="#2f6ebe" opacity=".5" offset="6pt,6pt" matrix="66191f,,,66191f"/>
                <v:textbox inset="0,0,0,0">
                  <w:txbxContent>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sz w:val="28"/>
                          <w:szCs w:val="28"/>
                        </w:rPr>
                      </w:pPr>
                      <w:r w:rsidRPr="00F4340A">
                        <w:rPr>
                          <w:rFonts w:ascii="Arial" w:hAnsi="Arial" w:cs="Arial"/>
                          <w:b/>
                          <w:iCs/>
                          <w:color w:val="6076B4" w:themeColor="accent1"/>
                          <w:sz w:val="28"/>
                          <w:szCs w:val="28"/>
                        </w:rPr>
                        <w:t>America</w:t>
                      </w:r>
                      <w:r>
                        <w:rPr>
                          <w:rFonts w:ascii="Arial" w:hAnsi="Arial" w:cs="Arial"/>
                          <w:b/>
                          <w:iCs/>
                          <w:color w:val="6076B4" w:themeColor="accent1"/>
                          <w:sz w:val="28"/>
                          <w:szCs w:val="28"/>
                        </w:rPr>
                        <w:t>n Subcontractors</w:t>
                      </w:r>
                      <w:r w:rsidRPr="00F4340A">
                        <w:rPr>
                          <w:rFonts w:ascii="Arial" w:hAnsi="Arial" w:cs="Arial"/>
                          <w:b/>
                          <w:iCs/>
                          <w:color w:val="6076B4" w:themeColor="accent1"/>
                          <w:sz w:val="28"/>
                          <w:szCs w:val="28"/>
                        </w:rPr>
                        <w:t xml:space="preserve"> Association, Inc.</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Subcontractor’s Negotiating Tip Sheet</w:t>
                      </w:r>
                    </w:p>
                    <w:p w:rsidR="00F4340A" w:rsidRPr="00F4340A" w:rsidRDefault="008530C9">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Pr>
                          <w:rFonts w:ascii="Arial" w:hAnsi="Arial" w:cs="Arial"/>
                          <w:b/>
                          <w:iCs/>
                          <w:color w:val="6076B4" w:themeColor="accent1"/>
                        </w:rPr>
                        <w:t>Prospective Waiver of Rights</w:t>
                      </w:r>
                    </w:p>
                  </w:txbxContent>
                </v:textbox>
                <w10:wrap type="square" anchorx="margin" anchory="margin"/>
              </v:rect>
            </w:pict>
          </mc:Fallback>
        </mc:AlternateContent>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p>
    <w:p w:rsidR="006A632D" w:rsidRPr="00F4340A" w:rsidRDefault="006A632D" w:rsidP="006A632D">
      <w:pPr>
        <w:jc w:val="center"/>
        <w:rPr>
          <w:rFonts w:ascii="Arial" w:hAnsi="Arial" w:cs="Arial"/>
          <w:color w:val="2F5897" w:themeColor="text2"/>
          <w:sz w:val="20"/>
          <w:szCs w:val="20"/>
        </w:rPr>
      </w:pPr>
      <w:r w:rsidRPr="00F4340A">
        <w:rPr>
          <w:rFonts w:ascii="Arial" w:hAnsi="Arial" w:cs="Arial"/>
          <w:b/>
          <w:color w:val="2F5897" w:themeColor="text2"/>
          <w:sz w:val="20"/>
          <w:szCs w:val="20"/>
        </w:rPr>
        <w:lastRenderedPageBreak/>
        <w:t>Sample Language</w:t>
      </w:r>
    </w:p>
    <w:p w:rsidR="006A632D" w:rsidRDefault="006A632D" w:rsidP="006A632D">
      <w:pPr>
        <w:rPr>
          <w:rFonts w:ascii="Arial" w:hAnsi="Arial" w:cs="Arial"/>
          <w:sz w:val="20"/>
          <w:szCs w:val="20"/>
        </w:rPr>
      </w:pPr>
    </w:p>
    <w:p w:rsidR="006A632D" w:rsidRPr="00F4340A" w:rsidRDefault="006A632D" w:rsidP="00F4340A">
      <w:pPr>
        <w:rPr>
          <w:rFonts w:ascii="Arial" w:hAnsi="Arial" w:cs="Arial"/>
          <w:i/>
          <w:color w:val="2F5897" w:themeColor="text2"/>
          <w:sz w:val="20"/>
          <w:szCs w:val="20"/>
        </w:rPr>
      </w:pPr>
      <w:r w:rsidRPr="00F4340A">
        <w:rPr>
          <w:rFonts w:ascii="Arial" w:hAnsi="Arial" w:cs="Arial"/>
          <w:b/>
          <w:color w:val="2F5897" w:themeColor="text2"/>
          <w:sz w:val="20"/>
          <w:szCs w:val="20"/>
        </w:rPr>
        <w:t>ASA Recommends:</w:t>
      </w:r>
    </w:p>
    <w:p w:rsidR="00782836" w:rsidRDefault="00782836" w:rsidP="00782836">
      <w:pPr>
        <w:rPr>
          <w:rFonts w:ascii="Arial" w:hAnsi="Arial" w:cs="Arial"/>
          <w:sz w:val="20"/>
          <w:szCs w:val="20"/>
        </w:rPr>
      </w:pPr>
      <w:r>
        <w:rPr>
          <w:rFonts w:ascii="Arial" w:hAnsi="Arial" w:cs="Arial"/>
          <w:sz w:val="20"/>
          <w:szCs w:val="20"/>
        </w:rPr>
        <w:t>“Notwithstanding any provision to the contrary, Subcontractor may take all steps reasonably necessary to preserve its lien and bond rights.”</w:t>
      </w:r>
    </w:p>
    <w:p w:rsidR="008530C9" w:rsidRDefault="008530C9" w:rsidP="006A632D">
      <w:pPr>
        <w:rPr>
          <w:rFonts w:ascii="Arial" w:hAnsi="Arial" w:cs="Arial"/>
          <w:sz w:val="20"/>
          <w:szCs w:val="20"/>
        </w:rPr>
      </w:pPr>
    </w:p>
    <w:p w:rsidR="00F15C16" w:rsidRDefault="00782836" w:rsidP="006A632D">
      <w:pPr>
        <w:rPr>
          <w:rFonts w:ascii="Arial" w:hAnsi="Arial" w:cs="Arial"/>
          <w:sz w:val="20"/>
          <w:szCs w:val="20"/>
        </w:rPr>
      </w:pPr>
      <w:r w:rsidRPr="00F4340A">
        <w:rPr>
          <w:rFonts w:ascii="Arial" w:hAnsi="Arial" w:cs="Arial"/>
          <w:b/>
          <w:color w:val="2F5897" w:themeColor="text2"/>
          <w:sz w:val="20"/>
          <w:szCs w:val="20"/>
        </w:rPr>
        <w:t xml:space="preserve">ASA </w:t>
      </w:r>
      <w:r>
        <w:rPr>
          <w:rFonts w:ascii="Arial" w:hAnsi="Arial" w:cs="Arial"/>
          <w:b/>
          <w:color w:val="2F5897" w:themeColor="text2"/>
          <w:sz w:val="20"/>
          <w:szCs w:val="20"/>
        </w:rPr>
        <w:t>Alternative</w:t>
      </w:r>
      <w:r w:rsidRPr="00F4340A">
        <w:rPr>
          <w:rFonts w:ascii="Arial" w:hAnsi="Arial" w:cs="Arial"/>
          <w:b/>
          <w:color w:val="2F5897" w:themeColor="text2"/>
          <w:sz w:val="20"/>
          <w:szCs w:val="20"/>
        </w:rPr>
        <w:t>:</w:t>
      </w:r>
    </w:p>
    <w:p w:rsidR="00782836" w:rsidRDefault="00782836" w:rsidP="00782836">
      <w:pPr>
        <w:rPr>
          <w:rFonts w:ascii="Arial" w:hAnsi="Arial" w:cs="Arial"/>
          <w:sz w:val="20"/>
          <w:szCs w:val="20"/>
        </w:rPr>
      </w:pPr>
      <w:r>
        <w:rPr>
          <w:rFonts w:ascii="Arial" w:hAnsi="Arial" w:cs="Arial"/>
          <w:sz w:val="20"/>
          <w:szCs w:val="20"/>
        </w:rPr>
        <w:t>“Irrespective of any subcontract language to the contrary, the Subcontractor does not agree to the waiver or diminution of any of its lien rights (except to the extent exchanged for payments), the right to assert payment bond claims, the right to assert claims for demonstrated additional costs or such other rights a Subcontractor has under laws prevailing at the location of the project.”</w:t>
      </w:r>
    </w:p>
    <w:p w:rsidR="00782836" w:rsidRDefault="00782836" w:rsidP="006A632D">
      <w:pPr>
        <w:rPr>
          <w:rFonts w:ascii="Arial" w:hAnsi="Arial" w:cs="Arial"/>
          <w:sz w:val="20"/>
          <w:szCs w:val="20"/>
        </w:rPr>
      </w:pPr>
    </w:p>
    <w:p w:rsidR="006A632D" w:rsidRPr="00F4340A" w:rsidRDefault="006A632D" w:rsidP="006A632D">
      <w:pPr>
        <w:rPr>
          <w:rFonts w:ascii="Arial" w:hAnsi="Arial" w:cs="Arial"/>
          <w:color w:val="2F5897" w:themeColor="text2"/>
          <w:sz w:val="20"/>
          <w:szCs w:val="20"/>
        </w:rPr>
      </w:pPr>
      <w:r w:rsidRPr="00F4340A">
        <w:rPr>
          <w:rFonts w:ascii="Arial" w:hAnsi="Arial" w:cs="Arial"/>
          <w:b/>
          <w:color w:val="2F5897" w:themeColor="text2"/>
          <w:sz w:val="20"/>
          <w:szCs w:val="20"/>
        </w:rPr>
        <w:t>What You May See in the Wild:</w:t>
      </w:r>
    </w:p>
    <w:p w:rsidR="008530C9" w:rsidRDefault="008530C9" w:rsidP="00E46F8B">
      <w:pPr>
        <w:rPr>
          <w:rFonts w:ascii="Arial" w:hAnsi="Arial" w:cs="Arial"/>
          <w:sz w:val="20"/>
          <w:szCs w:val="20"/>
        </w:rPr>
      </w:pPr>
      <w:r>
        <w:rPr>
          <w:rFonts w:ascii="Arial" w:hAnsi="Arial" w:cs="Arial"/>
          <w:sz w:val="20"/>
          <w:szCs w:val="20"/>
        </w:rPr>
        <w:t>“Subcontractor agrees to forgo actions under &lt;citation for state’s mechanic’s lien law&gt; or &lt;citation for state’s “little Miller Act.”</w:t>
      </w:r>
      <w:r w:rsidR="005157F3">
        <w:rPr>
          <w:rFonts w:ascii="Arial" w:hAnsi="Arial" w:cs="Arial"/>
          <w:sz w:val="20"/>
          <w:szCs w:val="20"/>
        </w:rPr>
        <w:t>&gt;</w:t>
      </w:r>
    </w:p>
    <w:p w:rsidR="008530C9" w:rsidRDefault="008530C9" w:rsidP="00E46F8B">
      <w:pPr>
        <w:rPr>
          <w:rFonts w:ascii="Arial" w:hAnsi="Arial" w:cs="Arial"/>
          <w:sz w:val="20"/>
          <w:szCs w:val="20"/>
        </w:rPr>
      </w:pPr>
    </w:p>
    <w:p w:rsidR="00F4340A" w:rsidRDefault="008530C9" w:rsidP="00E46F8B">
      <w:pPr>
        <w:rPr>
          <w:rFonts w:ascii="Arial" w:hAnsi="Arial" w:cs="Arial"/>
          <w:sz w:val="20"/>
          <w:szCs w:val="20"/>
        </w:rPr>
      </w:pPr>
      <w:r>
        <w:rPr>
          <w:rFonts w:ascii="Arial" w:hAnsi="Arial" w:cs="Arial"/>
          <w:sz w:val="20"/>
          <w:szCs w:val="20"/>
        </w:rPr>
        <w:t>“Subcontractor waives any claims for delays, interference and unanticipated jobsite conditions.”</w:t>
      </w:r>
      <w:r w:rsidR="00DE039E">
        <w:rPr>
          <w:rFonts w:ascii="Arial" w:hAnsi="Arial" w:cs="Arial"/>
          <w:sz w:val="20"/>
          <w:szCs w:val="20"/>
        </w:rPr>
        <w:t xml:space="preserve"> </w:t>
      </w:r>
      <w:r w:rsidR="006A632D">
        <w:rPr>
          <w:rFonts w:ascii="Arial" w:hAnsi="Arial" w:cs="Arial"/>
          <w:b/>
          <w:sz w:val="20"/>
          <w:szCs w:val="20"/>
        </w:rPr>
        <w:t xml:space="preserve"> </w:t>
      </w:r>
    </w:p>
    <w:p w:rsidR="00B75710" w:rsidRDefault="00B75710" w:rsidP="006A632D">
      <w:pPr>
        <w:rPr>
          <w:rFonts w:ascii="Arial" w:hAnsi="Arial" w:cs="Arial"/>
          <w:sz w:val="20"/>
          <w:szCs w:val="20"/>
        </w:rPr>
      </w:pPr>
    </w:p>
    <w:p w:rsidR="00B75710" w:rsidRDefault="00B75710" w:rsidP="00B75710">
      <w:pPr>
        <w:jc w:val="center"/>
        <w:rPr>
          <w:rFonts w:ascii="Arial" w:hAnsi="Arial" w:cs="Arial"/>
          <w:b/>
          <w:sz w:val="20"/>
          <w:szCs w:val="20"/>
        </w:rPr>
      </w:pPr>
      <w:r>
        <w:rPr>
          <w:rFonts w:ascii="Arial" w:hAnsi="Arial" w:cs="Arial"/>
          <w:sz w:val="20"/>
          <w:szCs w:val="20"/>
        </w:rPr>
        <w:br w:type="column"/>
      </w:r>
      <w:r w:rsidRPr="00C43C21">
        <w:rPr>
          <w:rFonts w:ascii="Arial" w:hAnsi="Arial" w:cs="Arial"/>
          <w:b/>
          <w:color w:val="2F5897" w:themeColor="text2"/>
          <w:sz w:val="20"/>
          <w:szCs w:val="20"/>
        </w:rPr>
        <w:lastRenderedPageBreak/>
        <w:t xml:space="preserve">Impact on </w:t>
      </w:r>
      <w:r w:rsidR="00AC7FFE">
        <w:rPr>
          <w:rFonts w:ascii="Arial" w:hAnsi="Arial" w:cs="Arial"/>
          <w:b/>
          <w:color w:val="2F5897" w:themeColor="text2"/>
          <w:sz w:val="20"/>
          <w:szCs w:val="20"/>
        </w:rPr>
        <w:t xml:space="preserve">the </w:t>
      </w:r>
      <w:r w:rsidRPr="00C43C21">
        <w:rPr>
          <w:rFonts w:ascii="Arial" w:hAnsi="Arial" w:cs="Arial"/>
          <w:b/>
          <w:color w:val="2F5897" w:themeColor="text2"/>
          <w:sz w:val="20"/>
          <w:szCs w:val="20"/>
        </w:rPr>
        <w:t>Subcontractor</w:t>
      </w:r>
    </w:p>
    <w:p w:rsidR="00B75710" w:rsidRDefault="00B75710" w:rsidP="00B75710">
      <w:pPr>
        <w:rPr>
          <w:rFonts w:ascii="Arial" w:hAnsi="Arial" w:cs="Arial"/>
          <w:b/>
          <w:sz w:val="20"/>
          <w:szCs w:val="20"/>
        </w:rPr>
      </w:pPr>
    </w:p>
    <w:p w:rsidR="00AC7FFE" w:rsidRDefault="00AF1EFF" w:rsidP="00AC7FFE">
      <w:pPr>
        <w:pStyle w:val="ListParagraph"/>
        <w:widowControl w:val="0"/>
        <w:numPr>
          <w:ilvl w:val="0"/>
          <w:numId w:val="4"/>
        </w:numPr>
        <w:tabs>
          <w:tab w:val="left" w:pos="180"/>
        </w:tabs>
        <w:ind w:left="180" w:hanging="180"/>
        <w:rPr>
          <w:rFonts w:ascii="Arial" w:hAnsi="Arial" w:cs="Arial"/>
          <w:sz w:val="20"/>
          <w:szCs w:val="20"/>
        </w:rPr>
      </w:pPr>
      <w:r>
        <w:rPr>
          <w:rFonts w:ascii="Arial" w:hAnsi="Arial" w:cs="Arial"/>
          <w:sz w:val="20"/>
          <w:szCs w:val="20"/>
        </w:rPr>
        <w:t>The s</w:t>
      </w:r>
      <w:r w:rsidR="008530C9">
        <w:rPr>
          <w:rFonts w:ascii="Arial" w:hAnsi="Arial" w:cs="Arial"/>
          <w:sz w:val="20"/>
          <w:szCs w:val="20"/>
        </w:rPr>
        <w:t>ubcontractor may not have any protection against late or no</w:t>
      </w:r>
      <w:r w:rsidR="00830686">
        <w:rPr>
          <w:rFonts w:ascii="Arial" w:hAnsi="Arial" w:cs="Arial"/>
          <w:sz w:val="20"/>
          <w:szCs w:val="20"/>
        </w:rPr>
        <w:t>n</w:t>
      </w:r>
      <w:r w:rsidR="008530C9">
        <w:rPr>
          <w:rFonts w:ascii="Arial" w:hAnsi="Arial" w:cs="Arial"/>
          <w:sz w:val="20"/>
          <w:szCs w:val="20"/>
        </w:rPr>
        <w:t>payment</w:t>
      </w:r>
      <w:r w:rsidR="00F15C16">
        <w:rPr>
          <w:rFonts w:ascii="Arial" w:hAnsi="Arial" w:cs="Arial"/>
          <w:sz w:val="20"/>
          <w:szCs w:val="20"/>
        </w:rPr>
        <w:t>.</w:t>
      </w:r>
    </w:p>
    <w:p w:rsidR="008530C9" w:rsidRDefault="008530C9" w:rsidP="008530C9">
      <w:pPr>
        <w:widowControl w:val="0"/>
        <w:tabs>
          <w:tab w:val="left" w:pos="180"/>
        </w:tabs>
        <w:rPr>
          <w:rFonts w:ascii="Arial" w:hAnsi="Arial" w:cs="Arial"/>
          <w:sz w:val="20"/>
          <w:szCs w:val="20"/>
        </w:rPr>
      </w:pPr>
    </w:p>
    <w:p w:rsidR="008530C9" w:rsidRDefault="008530C9" w:rsidP="008530C9">
      <w:pPr>
        <w:pStyle w:val="ListParagraph"/>
        <w:widowControl w:val="0"/>
        <w:numPr>
          <w:ilvl w:val="0"/>
          <w:numId w:val="4"/>
        </w:numPr>
        <w:tabs>
          <w:tab w:val="left" w:pos="180"/>
        </w:tabs>
        <w:ind w:left="180" w:hanging="180"/>
        <w:rPr>
          <w:rFonts w:ascii="Arial" w:hAnsi="Arial" w:cs="Arial"/>
          <w:sz w:val="20"/>
          <w:szCs w:val="20"/>
        </w:rPr>
      </w:pPr>
      <w:r>
        <w:rPr>
          <w:rFonts w:ascii="Arial" w:hAnsi="Arial" w:cs="Arial"/>
          <w:sz w:val="20"/>
          <w:szCs w:val="20"/>
        </w:rPr>
        <w:t xml:space="preserve">The subcontractor may give up rights and interests that have been provided by the legislature or the courts. </w:t>
      </w:r>
    </w:p>
    <w:p w:rsidR="008530C9" w:rsidRDefault="008530C9" w:rsidP="00AF1EFF">
      <w:pPr>
        <w:pStyle w:val="ListParagraph"/>
        <w:widowControl w:val="0"/>
        <w:tabs>
          <w:tab w:val="left" w:pos="180"/>
        </w:tabs>
        <w:ind w:left="180"/>
        <w:rPr>
          <w:rFonts w:ascii="Arial" w:hAnsi="Arial" w:cs="Arial"/>
          <w:sz w:val="20"/>
          <w:szCs w:val="20"/>
        </w:rPr>
      </w:pPr>
    </w:p>
    <w:p w:rsidR="00AF1EFF" w:rsidRDefault="00AF1EFF" w:rsidP="00AC7FFE">
      <w:pPr>
        <w:pStyle w:val="ListParagraph"/>
        <w:widowControl w:val="0"/>
        <w:numPr>
          <w:ilvl w:val="0"/>
          <w:numId w:val="4"/>
        </w:numPr>
        <w:tabs>
          <w:tab w:val="left" w:pos="180"/>
        </w:tabs>
        <w:ind w:left="180" w:hanging="180"/>
        <w:rPr>
          <w:rFonts w:ascii="Arial" w:hAnsi="Arial" w:cs="Arial"/>
          <w:sz w:val="20"/>
          <w:szCs w:val="20"/>
        </w:rPr>
      </w:pPr>
      <w:r>
        <w:rPr>
          <w:rFonts w:ascii="Arial" w:hAnsi="Arial" w:cs="Arial"/>
          <w:sz w:val="20"/>
          <w:szCs w:val="20"/>
        </w:rPr>
        <w:t xml:space="preserve">The subcontractor may </w:t>
      </w:r>
      <w:r w:rsidR="008530C9">
        <w:rPr>
          <w:rFonts w:ascii="Arial" w:hAnsi="Arial" w:cs="Arial"/>
          <w:sz w:val="20"/>
          <w:szCs w:val="20"/>
        </w:rPr>
        <w:t xml:space="preserve">be forced to absorb all costs for owner and/or contractor delays. </w:t>
      </w:r>
    </w:p>
    <w:p w:rsidR="008530C9" w:rsidRPr="008530C9" w:rsidRDefault="008530C9" w:rsidP="008530C9">
      <w:pPr>
        <w:pStyle w:val="ListParagraph"/>
        <w:rPr>
          <w:rFonts w:ascii="Arial" w:hAnsi="Arial" w:cs="Arial"/>
          <w:sz w:val="20"/>
          <w:szCs w:val="20"/>
        </w:rPr>
      </w:pPr>
    </w:p>
    <w:p w:rsidR="00AC7FFE" w:rsidRDefault="00AF1EFF" w:rsidP="00AC7FFE">
      <w:pPr>
        <w:pStyle w:val="ListParagraph"/>
        <w:widowControl w:val="0"/>
        <w:numPr>
          <w:ilvl w:val="0"/>
          <w:numId w:val="5"/>
        </w:numPr>
        <w:ind w:left="180" w:hanging="180"/>
        <w:rPr>
          <w:rFonts w:ascii="Arial" w:hAnsi="Arial" w:cs="Arial"/>
          <w:sz w:val="20"/>
          <w:szCs w:val="20"/>
        </w:rPr>
      </w:pPr>
      <w:r>
        <w:rPr>
          <w:rFonts w:ascii="Arial" w:hAnsi="Arial" w:cs="Arial"/>
          <w:sz w:val="20"/>
          <w:szCs w:val="20"/>
        </w:rPr>
        <w:t xml:space="preserve">The subcontractor may have to absorb the cost for </w:t>
      </w:r>
      <w:r w:rsidR="00B13B35">
        <w:rPr>
          <w:rFonts w:ascii="Arial" w:hAnsi="Arial" w:cs="Arial"/>
          <w:sz w:val="20"/>
          <w:szCs w:val="20"/>
        </w:rPr>
        <w:t>unknown and unanticipated job</w:t>
      </w:r>
      <w:r w:rsidR="008530C9">
        <w:rPr>
          <w:rFonts w:ascii="Arial" w:hAnsi="Arial" w:cs="Arial"/>
          <w:sz w:val="20"/>
          <w:szCs w:val="20"/>
        </w:rPr>
        <w:t>site conditions for which it had no way of preparing.</w:t>
      </w:r>
    </w:p>
    <w:p w:rsidR="008530C9" w:rsidRPr="008530C9" w:rsidRDefault="008530C9" w:rsidP="008530C9">
      <w:pPr>
        <w:widowControl w:val="0"/>
        <w:rPr>
          <w:rFonts w:ascii="Arial" w:hAnsi="Arial" w:cs="Arial"/>
          <w:sz w:val="20"/>
          <w:szCs w:val="20"/>
        </w:rPr>
      </w:pPr>
    </w:p>
    <w:p w:rsidR="00AC7FFE" w:rsidRPr="00AC7FFE" w:rsidRDefault="00AC7FFE" w:rsidP="00AC7FFE">
      <w:pPr>
        <w:tabs>
          <w:tab w:val="left" w:pos="180"/>
        </w:tabs>
        <w:rPr>
          <w:rFonts w:ascii="Arial" w:hAnsi="Arial" w:cs="Arial"/>
          <w:b/>
          <w:sz w:val="20"/>
          <w:szCs w:val="20"/>
        </w:rPr>
      </w:pPr>
    </w:p>
    <w:p w:rsidR="00AC7FFE" w:rsidRPr="008530C9" w:rsidRDefault="00AC7FFE" w:rsidP="008530C9">
      <w:pPr>
        <w:widowControl w:val="0"/>
        <w:tabs>
          <w:tab w:val="left" w:pos="180"/>
        </w:tabs>
        <w:rPr>
          <w:rFonts w:ascii="Arial" w:hAnsi="Arial" w:cs="Arial"/>
          <w:sz w:val="20"/>
          <w:szCs w:val="20"/>
        </w:rPr>
      </w:pPr>
    </w:p>
    <w:p w:rsidR="00C43C21" w:rsidRPr="000C64AC" w:rsidRDefault="00C43C21" w:rsidP="00C43C21">
      <w:pPr>
        <w:tabs>
          <w:tab w:val="left" w:pos="180"/>
        </w:tabs>
        <w:jc w:val="center"/>
        <w:rPr>
          <w:rFonts w:ascii="Arial" w:hAnsi="Arial" w:cs="Arial"/>
          <w:b/>
          <w:color w:val="2F5897" w:themeColor="text2"/>
          <w:sz w:val="20"/>
          <w:szCs w:val="20"/>
        </w:rPr>
      </w:pPr>
      <w:r w:rsidRPr="00AC7FFE">
        <w:rPr>
          <w:rFonts w:ascii="Arial" w:hAnsi="Arial" w:cs="Arial"/>
          <w:b/>
          <w:sz w:val="20"/>
          <w:szCs w:val="20"/>
        </w:rPr>
        <w:br w:type="column"/>
      </w:r>
      <w:r w:rsidRPr="000C64AC">
        <w:rPr>
          <w:rFonts w:ascii="Arial" w:hAnsi="Arial" w:cs="Arial"/>
          <w:b/>
          <w:color w:val="2F5897" w:themeColor="text2"/>
          <w:sz w:val="20"/>
          <w:szCs w:val="20"/>
        </w:rPr>
        <w:lastRenderedPageBreak/>
        <w:t>Negotiating Tips</w:t>
      </w:r>
    </w:p>
    <w:p w:rsidR="00C43C21" w:rsidRDefault="00C43C21" w:rsidP="00C43C21">
      <w:pPr>
        <w:tabs>
          <w:tab w:val="left" w:pos="180"/>
        </w:tabs>
        <w:rPr>
          <w:rFonts w:ascii="Arial" w:hAnsi="Arial" w:cs="Arial"/>
          <w:b/>
          <w:sz w:val="20"/>
          <w:szCs w:val="20"/>
        </w:rPr>
      </w:pPr>
    </w:p>
    <w:p w:rsidR="00567D32" w:rsidRPr="00AC7FFE" w:rsidRDefault="00567D32" w:rsidP="00567D32">
      <w:pPr>
        <w:widowControl w:val="0"/>
        <w:rPr>
          <w:rFonts w:ascii="Arial" w:hAnsi="Arial" w:cs="Arial"/>
          <w:sz w:val="20"/>
          <w:szCs w:val="20"/>
        </w:rPr>
      </w:pPr>
      <w:r w:rsidRPr="00AC7FFE">
        <w:rPr>
          <w:rFonts w:ascii="Arial" w:hAnsi="Arial" w:cs="Arial"/>
          <w:b/>
          <w:bCs/>
          <w:sz w:val="20"/>
          <w:szCs w:val="20"/>
        </w:rPr>
        <w:t>When the GC Says:</w:t>
      </w:r>
      <w:r w:rsidRPr="00AC7FFE">
        <w:rPr>
          <w:rFonts w:ascii="Arial" w:hAnsi="Arial" w:cs="Arial"/>
          <w:sz w:val="20"/>
          <w:szCs w:val="20"/>
        </w:rPr>
        <w:t xml:space="preserve"> “</w:t>
      </w:r>
      <w:r w:rsidR="00245CBF">
        <w:rPr>
          <w:rFonts w:ascii="Arial" w:hAnsi="Arial" w:cs="Arial"/>
          <w:sz w:val="20"/>
          <w:szCs w:val="20"/>
        </w:rPr>
        <w:t>I’m not asking you to do anything I’m not asked to do.</w:t>
      </w:r>
      <w:r w:rsidRPr="00AC7FFE">
        <w:rPr>
          <w:rFonts w:ascii="Arial" w:hAnsi="Arial" w:cs="Arial"/>
          <w:sz w:val="20"/>
          <w:szCs w:val="20"/>
        </w:rPr>
        <w:t>”</w:t>
      </w:r>
    </w:p>
    <w:p w:rsidR="00567D32" w:rsidRPr="00AC7FFE" w:rsidRDefault="00567D32" w:rsidP="00567D32">
      <w:pPr>
        <w:widowControl w:val="0"/>
        <w:rPr>
          <w:rFonts w:ascii="Arial" w:hAnsi="Arial" w:cs="Arial"/>
          <w:sz w:val="20"/>
          <w:szCs w:val="20"/>
        </w:rPr>
      </w:pPr>
      <w:r w:rsidRPr="00AC7FFE">
        <w:rPr>
          <w:rFonts w:ascii="Arial" w:hAnsi="Arial" w:cs="Arial"/>
          <w:b/>
          <w:bCs/>
          <w:sz w:val="20"/>
          <w:szCs w:val="20"/>
        </w:rPr>
        <w:t xml:space="preserve">The Sub Should Say: </w:t>
      </w:r>
      <w:r w:rsidRPr="00AC7FFE">
        <w:rPr>
          <w:rFonts w:ascii="Arial" w:hAnsi="Arial" w:cs="Arial"/>
          <w:sz w:val="20"/>
          <w:szCs w:val="20"/>
        </w:rPr>
        <w:t>“</w:t>
      </w:r>
      <w:r w:rsidR="00245CBF">
        <w:rPr>
          <w:rFonts w:ascii="Arial" w:hAnsi="Arial" w:cs="Arial"/>
          <w:sz w:val="20"/>
          <w:szCs w:val="20"/>
        </w:rPr>
        <w:t>I don’t expect you to waive any of your legal rights, and there’s no justification for me to waive any of mine.</w:t>
      </w:r>
      <w:r w:rsidRPr="00AC7FFE">
        <w:rPr>
          <w:rFonts w:ascii="Arial" w:hAnsi="Arial" w:cs="Arial"/>
          <w:sz w:val="20"/>
          <w:szCs w:val="20"/>
        </w:rPr>
        <w:t>”</w:t>
      </w:r>
    </w:p>
    <w:p w:rsidR="00567D32" w:rsidRDefault="00567D32" w:rsidP="00567D32">
      <w:pPr>
        <w:tabs>
          <w:tab w:val="left" w:pos="180"/>
        </w:tabs>
        <w:rPr>
          <w:rFonts w:ascii="Arial" w:hAnsi="Arial" w:cs="Arial"/>
          <w:b/>
          <w:sz w:val="20"/>
          <w:szCs w:val="20"/>
        </w:rPr>
      </w:pPr>
    </w:p>
    <w:p w:rsidR="00567D32" w:rsidRPr="00AC7FFE" w:rsidRDefault="00567D32" w:rsidP="00567D32">
      <w:pPr>
        <w:tabs>
          <w:tab w:val="left" w:pos="180"/>
        </w:tabs>
        <w:rPr>
          <w:rFonts w:ascii="Arial" w:hAnsi="Arial" w:cs="Arial"/>
          <w:sz w:val="20"/>
          <w:szCs w:val="20"/>
        </w:rPr>
      </w:pPr>
      <w:r w:rsidRPr="00AC7FFE">
        <w:rPr>
          <w:rFonts w:ascii="Arial" w:hAnsi="Arial" w:cs="Arial"/>
          <w:b/>
          <w:bCs/>
          <w:sz w:val="20"/>
          <w:szCs w:val="20"/>
        </w:rPr>
        <w:t>When the GC Says:</w:t>
      </w:r>
      <w:r w:rsidRPr="00AC7FFE">
        <w:rPr>
          <w:rFonts w:ascii="Arial" w:hAnsi="Arial" w:cs="Arial"/>
          <w:sz w:val="20"/>
          <w:szCs w:val="20"/>
        </w:rPr>
        <w:t xml:space="preserve"> “</w:t>
      </w:r>
      <w:r>
        <w:rPr>
          <w:rFonts w:ascii="Arial" w:hAnsi="Arial" w:cs="Arial"/>
          <w:sz w:val="20"/>
          <w:szCs w:val="20"/>
        </w:rPr>
        <w:t xml:space="preserve">This </w:t>
      </w:r>
      <w:r w:rsidR="00245CBF">
        <w:rPr>
          <w:rFonts w:ascii="Arial" w:hAnsi="Arial" w:cs="Arial"/>
          <w:sz w:val="20"/>
          <w:szCs w:val="20"/>
        </w:rPr>
        <w:t>is just standard industry practice.</w:t>
      </w:r>
      <w:r w:rsidRPr="00AC7FFE">
        <w:rPr>
          <w:rFonts w:ascii="Arial" w:hAnsi="Arial" w:cs="Arial"/>
          <w:sz w:val="20"/>
          <w:szCs w:val="20"/>
        </w:rPr>
        <w:t>”</w:t>
      </w:r>
    </w:p>
    <w:p w:rsidR="00567D32" w:rsidRPr="00AC7FFE" w:rsidRDefault="00567D32" w:rsidP="00567D32">
      <w:pPr>
        <w:widowControl w:val="0"/>
        <w:rPr>
          <w:rFonts w:ascii="Arial" w:hAnsi="Arial" w:cs="Arial"/>
          <w:sz w:val="20"/>
          <w:szCs w:val="20"/>
        </w:rPr>
      </w:pPr>
      <w:r w:rsidRPr="00AC7FFE">
        <w:rPr>
          <w:rFonts w:ascii="Arial" w:hAnsi="Arial" w:cs="Arial"/>
          <w:b/>
          <w:bCs/>
          <w:sz w:val="20"/>
          <w:szCs w:val="20"/>
        </w:rPr>
        <w:t xml:space="preserve">The Sub Should Say: </w:t>
      </w:r>
      <w:r w:rsidRPr="00AC7FFE">
        <w:rPr>
          <w:rFonts w:ascii="Arial" w:hAnsi="Arial" w:cs="Arial"/>
          <w:sz w:val="20"/>
          <w:szCs w:val="20"/>
        </w:rPr>
        <w:t>“</w:t>
      </w:r>
      <w:r w:rsidR="00245CBF">
        <w:rPr>
          <w:rFonts w:ascii="Arial" w:hAnsi="Arial" w:cs="Arial"/>
          <w:sz w:val="20"/>
          <w:szCs w:val="20"/>
        </w:rPr>
        <w:t xml:space="preserve">Waiving lien rights before one is paid is against public policy in many states. And, certainly, neither ConsensusDocs nor AIA include the practice in their </w:t>
      </w:r>
      <w:r w:rsidR="00782836">
        <w:rPr>
          <w:rFonts w:ascii="Arial" w:hAnsi="Arial" w:cs="Arial"/>
          <w:sz w:val="20"/>
          <w:szCs w:val="20"/>
        </w:rPr>
        <w:t xml:space="preserve">standard industry </w:t>
      </w:r>
      <w:r w:rsidR="00245CBF">
        <w:rPr>
          <w:rFonts w:ascii="Arial" w:hAnsi="Arial" w:cs="Arial"/>
          <w:sz w:val="20"/>
          <w:szCs w:val="20"/>
        </w:rPr>
        <w:t>documents.”</w:t>
      </w:r>
    </w:p>
    <w:p w:rsidR="00567D32" w:rsidRDefault="00567D32" w:rsidP="00C43C21">
      <w:pPr>
        <w:tabs>
          <w:tab w:val="left" w:pos="180"/>
        </w:tabs>
        <w:rPr>
          <w:rFonts w:ascii="Arial" w:hAnsi="Arial" w:cs="Arial"/>
          <w:b/>
          <w:sz w:val="20"/>
          <w:szCs w:val="20"/>
        </w:rPr>
      </w:pPr>
    </w:p>
    <w:p w:rsidR="00AF1EFF" w:rsidRDefault="00AF1EFF" w:rsidP="00AF1EFF">
      <w:pPr>
        <w:tabs>
          <w:tab w:val="left" w:pos="180"/>
        </w:tabs>
        <w:rPr>
          <w:rFonts w:ascii="Arial" w:hAnsi="Arial" w:cs="Arial"/>
          <w:sz w:val="20"/>
          <w:szCs w:val="20"/>
        </w:rPr>
      </w:pPr>
      <w:r>
        <w:rPr>
          <w:rFonts w:ascii="Arial" w:hAnsi="Arial" w:cs="Arial"/>
          <w:b/>
          <w:sz w:val="20"/>
          <w:szCs w:val="20"/>
        </w:rPr>
        <w:t xml:space="preserve">When the GC Says: </w:t>
      </w:r>
      <w:r>
        <w:rPr>
          <w:rFonts w:ascii="Arial" w:hAnsi="Arial" w:cs="Arial"/>
          <w:sz w:val="20"/>
          <w:szCs w:val="20"/>
        </w:rPr>
        <w:t>“</w:t>
      </w:r>
      <w:r w:rsidR="006E032A">
        <w:rPr>
          <w:rFonts w:ascii="Arial" w:hAnsi="Arial" w:cs="Arial"/>
          <w:sz w:val="20"/>
          <w:szCs w:val="20"/>
        </w:rPr>
        <w:t xml:space="preserve">I </w:t>
      </w:r>
      <w:r w:rsidR="00830686">
        <w:rPr>
          <w:rFonts w:ascii="Arial" w:hAnsi="Arial" w:cs="Arial"/>
          <w:sz w:val="20"/>
          <w:szCs w:val="20"/>
        </w:rPr>
        <w:t>need to protect m</w:t>
      </w:r>
      <w:r w:rsidR="00245CBF">
        <w:rPr>
          <w:rFonts w:ascii="Arial" w:hAnsi="Arial" w:cs="Arial"/>
          <w:sz w:val="20"/>
          <w:szCs w:val="20"/>
        </w:rPr>
        <w:t>y client and myself against lien and bond claims.</w:t>
      </w:r>
      <w:r>
        <w:rPr>
          <w:rFonts w:ascii="Arial" w:hAnsi="Arial" w:cs="Arial"/>
          <w:sz w:val="20"/>
          <w:szCs w:val="20"/>
        </w:rPr>
        <w:t>”</w:t>
      </w:r>
    </w:p>
    <w:p w:rsidR="006E032A" w:rsidRDefault="00AF1EFF" w:rsidP="00AF1EFF">
      <w:pPr>
        <w:tabs>
          <w:tab w:val="left" w:pos="180"/>
        </w:tabs>
        <w:rPr>
          <w:rFonts w:ascii="Arial" w:hAnsi="Arial" w:cs="Arial"/>
          <w:sz w:val="20"/>
          <w:szCs w:val="20"/>
        </w:rPr>
      </w:pPr>
      <w:r>
        <w:rPr>
          <w:rFonts w:ascii="Arial" w:hAnsi="Arial" w:cs="Arial"/>
          <w:b/>
          <w:sz w:val="20"/>
          <w:szCs w:val="20"/>
        </w:rPr>
        <w:t xml:space="preserve">The Sub Should Say: </w:t>
      </w:r>
      <w:r>
        <w:rPr>
          <w:rFonts w:ascii="Arial" w:hAnsi="Arial" w:cs="Arial"/>
          <w:sz w:val="20"/>
          <w:szCs w:val="20"/>
        </w:rPr>
        <w:t>“</w:t>
      </w:r>
      <w:r w:rsidR="00245CBF">
        <w:rPr>
          <w:rFonts w:ascii="Arial" w:hAnsi="Arial" w:cs="Arial"/>
          <w:sz w:val="20"/>
          <w:szCs w:val="20"/>
        </w:rPr>
        <w:t>This should not be a problem. As long as you pay on time, my lien and bond rights don’t even come into play.</w:t>
      </w:r>
      <w:r>
        <w:rPr>
          <w:rFonts w:ascii="Arial" w:hAnsi="Arial" w:cs="Arial"/>
          <w:sz w:val="20"/>
          <w:szCs w:val="20"/>
        </w:rPr>
        <w:t>”</w:t>
      </w:r>
    </w:p>
    <w:p w:rsidR="006E032A" w:rsidRDefault="006E032A" w:rsidP="00AF1EFF">
      <w:pPr>
        <w:tabs>
          <w:tab w:val="left" w:pos="180"/>
        </w:tabs>
        <w:rPr>
          <w:rFonts w:ascii="Arial" w:hAnsi="Arial" w:cs="Arial"/>
          <w:sz w:val="20"/>
          <w:szCs w:val="20"/>
        </w:rPr>
      </w:pPr>
    </w:p>
    <w:p w:rsidR="006E032A" w:rsidRDefault="006E032A" w:rsidP="00AF1EFF">
      <w:pPr>
        <w:tabs>
          <w:tab w:val="left" w:pos="180"/>
        </w:tabs>
        <w:rPr>
          <w:rFonts w:ascii="Arial" w:hAnsi="Arial" w:cs="Arial"/>
          <w:sz w:val="20"/>
          <w:szCs w:val="20"/>
        </w:rPr>
      </w:pPr>
      <w:r>
        <w:rPr>
          <w:rFonts w:ascii="Arial" w:hAnsi="Arial" w:cs="Arial"/>
          <w:b/>
          <w:sz w:val="20"/>
          <w:szCs w:val="20"/>
        </w:rPr>
        <w:t xml:space="preserve">When the GC Says: </w:t>
      </w:r>
      <w:r>
        <w:rPr>
          <w:rFonts w:ascii="Arial" w:hAnsi="Arial" w:cs="Arial"/>
          <w:sz w:val="20"/>
          <w:szCs w:val="20"/>
        </w:rPr>
        <w:t>“</w:t>
      </w:r>
      <w:r w:rsidR="00245CBF">
        <w:rPr>
          <w:rFonts w:ascii="Arial" w:hAnsi="Arial" w:cs="Arial"/>
          <w:sz w:val="20"/>
          <w:szCs w:val="20"/>
        </w:rPr>
        <w:t>Lien waivers are standard in return for payment.</w:t>
      </w:r>
      <w:r>
        <w:rPr>
          <w:rFonts w:ascii="Arial" w:hAnsi="Arial" w:cs="Arial"/>
          <w:sz w:val="20"/>
          <w:szCs w:val="20"/>
        </w:rPr>
        <w:t>”</w:t>
      </w:r>
    </w:p>
    <w:p w:rsidR="00AF1EFF" w:rsidRDefault="006E032A" w:rsidP="00AF1EFF">
      <w:pPr>
        <w:tabs>
          <w:tab w:val="left" w:pos="180"/>
        </w:tabs>
        <w:rPr>
          <w:rFonts w:ascii="Arial" w:hAnsi="Arial" w:cs="Arial"/>
          <w:sz w:val="20"/>
          <w:szCs w:val="20"/>
        </w:rPr>
      </w:pPr>
      <w:r>
        <w:rPr>
          <w:rFonts w:ascii="Arial" w:hAnsi="Arial" w:cs="Arial"/>
          <w:b/>
          <w:sz w:val="20"/>
          <w:szCs w:val="20"/>
        </w:rPr>
        <w:t xml:space="preserve">The Sub Should Say: </w:t>
      </w:r>
      <w:r>
        <w:rPr>
          <w:rFonts w:ascii="Arial" w:hAnsi="Arial" w:cs="Arial"/>
          <w:sz w:val="20"/>
          <w:szCs w:val="20"/>
        </w:rPr>
        <w:t>“</w:t>
      </w:r>
      <w:r w:rsidR="00245CBF">
        <w:rPr>
          <w:rFonts w:ascii="Arial" w:hAnsi="Arial" w:cs="Arial"/>
          <w:sz w:val="20"/>
          <w:szCs w:val="20"/>
        </w:rPr>
        <w:t>But your subcontract says that I’m waiving my lien rights in advance of any payments. I can agree to partial waivers for the amount I’ve been paid, but I can’t give an advance waiver. I need to protect my interests, just as you protect your interests with the owner.</w:t>
      </w:r>
      <w:r>
        <w:rPr>
          <w:rFonts w:ascii="Arial" w:hAnsi="Arial" w:cs="Arial"/>
          <w:sz w:val="20"/>
          <w:szCs w:val="20"/>
        </w:rPr>
        <w:t>”</w:t>
      </w:r>
    </w:p>
    <w:p w:rsidR="00245CBF" w:rsidRDefault="00245CBF" w:rsidP="00AF1EFF">
      <w:pPr>
        <w:tabs>
          <w:tab w:val="left" w:pos="180"/>
        </w:tabs>
        <w:rPr>
          <w:rFonts w:ascii="Arial" w:hAnsi="Arial" w:cs="Arial"/>
          <w:sz w:val="20"/>
          <w:szCs w:val="20"/>
        </w:rPr>
      </w:pPr>
    </w:p>
    <w:p w:rsidR="00245CBF" w:rsidRDefault="00245CBF" w:rsidP="00AF1EFF">
      <w:pPr>
        <w:tabs>
          <w:tab w:val="left" w:pos="180"/>
        </w:tabs>
        <w:rPr>
          <w:rFonts w:ascii="Arial" w:hAnsi="Arial" w:cs="Arial"/>
          <w:sz w:val="20"/>
          <w:szCs w:val="20"/>
        </w:rPr>
      </w:pPr>
      <w:r>
        <w:rPr>
          <w:rFonts w:ascii="Arial" w:hAnsi="Arial" w:cs="Arial"/>
          <w:b/>
          <w:sz w:val="20"/>
          <w:szCs w:val="20"/>
        </w:rPr>
        <w:t xml:space="preserve">When the GC Says: </w:t>
      </w:r>
      <w:r>
        <w:rPr>
          <w:rFonts w:ascii="Arial" w:hAnsi="Arial" w:cs="Arial"/>
          <w:sz w:val="20"/>
          <w:szCs w:val="20"/>
        </w:rPr>
        <w:t>“The owner insists on advance lien waivers.”</w:t>
      </w:r>
    </w:p>
    <w:p w:rsidR="00245CBF" w:rsidRPr="00245CBF" w:rsidRDefault="00245CBF" w:rsidP="00AF1EFF">
      <w:pPr>
        <w:tabs>
          <w:tab w:val="left" w:pos="180"/>
        </w:tabs>
        <w:rPr>
          <w:rFonts w:ascii="Arial" w:hAnsi="Arial" w:cs="Arial"/>
          <w:sz w:val="20"/>
          <w:szCs w:val="20"/>
        </w:rPr>
      </w:pPr>
      <w:r>
        <w:rPr>
          <w:rFonts w:ascii="Arial" w:hAnsi="Arial" w:cs="Arial"/>
          <w:b/>
          <w:sz w:val="20"/>
          <w:szCs w:val="20"/>
        </w:rPr>
        <w:t xml:space="preserve">The Sub Should Say: </w:t>
      </w:r>
      <w:r>
        <w:rPr>
          <w:rFonts w:ascii="Arial" w:hAnsi="Arial" w:cs="Arial"/>
          <w:sz w:val="20"/>
          <w:szCs w:val="20"/>
        </w:rPr>
        <w:t>“If the owner insists on lien waivers in advance, then I’ll need a direct payment system, so that I can get my money straight from the owner.”</w:t>
      </w:r>
      <w:r>
        <w:rPr>
          <w:rFonts w:ascii="Arial" w:hAnsi="Arial" w:cs="Arial"/>
          <w:sz w:val="20"/>
          <w:szCs w:val="20"/>
        </w:rPr>
        <w:br/>
      </w:r>
    </w:p>
    <w:p w:rsidR="00AC7FFE" w:rsidRPr="00AC7FFE" w:rsidRDefault="00AC7FFE" w:rsidP="00AC7FFE">
      <w:pPr>
        <w:widowControl w:val="0"/>
        <w:rPr>
          <w:rFonts w:ascii="Arial" w:hAnsi="Arial" w:cs="Arial"/>
          <w:sz w:val="20"/>
          <w:szCs w:val="20"/>
        </w:rPr>
      </w:pPr>
      <w:r w:rsidRPr="00AC7FFE">
        <w:rPr>
          <w:rFonts w:ascii="Arial" w:hAnsi="Arial" w:cs="Arial"/>
          <w:sz w:val="20"/>
          <w:szCs w:val="20"/>
        </w:rPr>
        <w:t> </w:t>
      </w:r>
    </w:p>
    <w:p w:rsidR="00AC7FFE" w:rsidRPr="00AC7FFE" w:rsidRDefault="00AC7FFE" w:rsidP="00AC7FFE">
      <w:pPr>
        <w:widowControl w:val="0"/>
        <w:rPr>
          <w:rFonts w:ascii="Arial" w:hAnsi="Arial" w:cs="Arial"/>
          <w:sz w:val="20"/>
          <w:szCs w:val="20"/>
        </w:rPr>
      </w:pPr>
      <w:r w:rsidRPr="00AC7FFE">
        <w:rPr>
          <w:rFonts w:ascii="Arial" w:hAnsi="Arial" w:cs="Arial"/>
          <w:sz w:val="20"/>
          <w:szCs w:val="20"/>
        </w:rPr>
        <w:t> </w:t>
      </w:r>
    </w:p>
    <w:p w:rsidR="00AC7FFE" w:rsidRDefault="00AC7FFE" w:rsidP="00AC7FFE">
      <w:pPr>
        <w:widowControl w:val="0"/>
      </w:pPr>
      <w:r>
        <w:t> </w:t>
      </w:r>
    </w:p>
    <w:p w:rsidR="00DA0394" w:rsidRDefault="00DA0394" w:rsidP="00C43C21">
      <w:pPr>
        <w:tabs>
          <w:tab w:val="left" w:pos="180"/>
        </w:tabs>
        <w:rPr>
          <w:rFonts w:ascii="Arial" w:hAnsi="Arial" w:cs="Arial"/>
          <w:sz w:val="20"/>
          <w:szCs w:val="20"/>
        </w:rPr>
        <w:sectPr w:rsidR="00DA0394" w:rsidSect="00DE2931">
          <w:type w:val="continuous"/>
          <w:pgSz w:w="15840" w:h="12240" w:orient="landscape"/>
          <w:pgMar w:top="720" w:right="432" w:bottom="720" w:left="432" w:header="720" w:footer="720" w:gutter="0"/>
          <w:cols w:num="3" w:sep="1" w:space="576" w:equalWidth="0">
            <w:col w:w="3600" w:space="576"/>
            <w:col w:w="3652" w:space="576"/>
            <w:col w:w="6572"/>
          </w:cols>
          <w:docGrid w:linePitch="360"/>
        </w:sectPr>
      </w:pPr>
    </w:p>
    <w:p w:rsidR="003D342D" w:rsidRDefault="003D342D" w:rsidP="00C43C21">
      <w:pPr>
        <w:tabs>
          <w:tab w:val="left" w:pos="180"/>
        </w:tabs>
        <w:rPr>
          <w:rFonts w:ascii="Arial" w:hAnsi="Arial" w:cs="Arial"/>
          <w:sz w:val="20"/>
          <w:szCs w:val="20"/>
        </w:rPr>
      </w:pPr>
    </w:p>
    <w:p w:rsidR="00DA0394" w:rsidRPr="003C2F55" w:rsidRDefault="00DA0394" w:rsidP="00C43C21">
      <w:pPr>
        <w:tabs>
          <w:tab w:val="left" w:pos="180"/>
        </w:tabs>
        <w:rPr>
          <w:rFonts w:ascii="Arial" w:hAnsi="Arial" w:cs="Arial"/>
          <w:color w:val="2F5897" w:themeColor="text2"/>
          <w:sz w:val="20"/>
          <w:szCs w:val="20"/>
        </w:rPr>
      </w:pPr>
      <w:r w:rsidRPr="003C2F55">
        <w:rPr>
          <w:rFonts w:ascii="Arial" w:hAnsi="Arial" w:cs="Arial"/>
          <w:b/>
          <w:color w:val="2F5897" w:themeColor="text2"/>
          <w:sz w:val="20"/>
          <w:szCs w:val="20"/>
        </w:rPr>
        <w:t>Additional Resources:</w:t>
      </w:r>
    </w:p>
    <w:p w:rsidR="002E6519" w:rsidRDefault="002E6519" w:rsidP="00C43C21">
      <w:pPr>
        <w:tabs>
          <w:tab w:val="left" w:pos="180"/>
        </w:tabs>
        <w:rPr>
          <w:rFonts w:ascii="Arial" w:hAnsi="Arial" w:cs="Arial"/>
          <w:sz w:val="20"/>
          <w:szCs w:val="20"/>
        </w:rPr>
      </w:pPr>
      <w:r>
        <w:rPr>
          <w:rFonts w:ascii="Arial" w:hAnsi="Arial" w:cs="Arial"/>
          <w:i/>
          <w:sz w:val="20"/>
          <w:szCs w:val="20"/>
        </w:rPr>
        <w:t>ASA Subcontract Addendum (2011</w:t>
      </w:r>
      <w:r w:rsidR="00CC3762">
        <w:rPr>
          <w:rFonts w:ascii="Arial" w:hAnsi="Arial" w:cs="Arial"/>
          <w:i/>
          <w:sz w:val="20"/>
          <w:szCs w:val="20"/>
        </w:rPr>
        <w:t>)</w:t>
      </w:r>
      <w:r w:rsidR="009341A8">
        <w:rPr>
          <w:rFonts w:ascii="Arial" w:hAnsi="Arial" w:cs="Arial"/>
          <w:i/>
          <w:sz w:val="20"/>
          <w:szCs w:val="20"/>
        </w:rPr>
        <w:t xml:space="preserve">, ¶ </w:t>
      </w:r>
      <w:r w:rsidR="008530C9">
        <w:rPr>
          <w:rFonts w:ascii="Arial" w:hAnsi="Arial" w:cs="Arial"/>
          <w:i/>
          <w:sz w:val="20"/>
          <w:szCs w:val="20"/>
        </w:rPr>
        <w:t>22</w:t>
      </w:r>
      <w:r>
        <w:rPr>
          <w:rFonts w:ascii="Arial" w:hAnsi="Arial" w:cs="Arial"/>
          <w:i/>
          <w:sz w:val="20"/>
          <w:szCs w:val="20"/>
        </w:rPr>
        <w:t>.</w:t>
      </w:r>
      <w:r>
        <w:rPr>
          <w:rFonts w:ascii="Arial" w:hAnsi="Arial" w:cs="Arial"/>
          <w:sz w:val="20"/>
          <w:szCs w:val="20"/>
        </w:rPr>
        <w:t xml:space="preserve"> Available to ASA members at </w:t>
      </w:r>
      <w:hyperlink r:id="rId16" w:history="1">
        <w:r w:rsidRPr="00F568E5">
          <w:rPr>
            <w:rStyle w:val="Hyperlink"/>
            <w:rFonts w:ascii="Arial" w:hAnsi="Arial" w:cs="Arial"/>
            <w:sz w:val="20"/>
            <w:szCs w:val="20"/>
          </w:rPr>
          <w:t>www.ASAonline.com</w:t>
        </w:r>
      </w:hyperlink>
      <w:r>
        <w:rPr>
          <w:rFonts w:ascii="Arial" w:hAnsi="Arial" w:cs="Arial"/>
          <w:sz w:val="20"/>
          <w:szCs w:val="20"/>
        </w:rPr>
        <w:t>.</w:t>
      </w:r>
    </w:p>
    <w:p w:rsidR="00245CBF" w:rsidRDefault="00245CBF" w:rsidP="00C43C21">
      <w:pPr>
        <w:tabs>
          <w:tab w:val="left" w:pos="180"/>
        </w:tabs>
        <w:rPr>
          <w:rFonts w:ascii="Arial" w:hAnsi="Arial" w:cs="Arial"/>
          <w:sz w:val="20"/>
          <w:szCs w:val="20"/>
        </w:rPr>
      </w:pPr>
      <w:r>
        <w:rPr>
          <w:rStyle w:val="Emphasis"/>
          <w:rFonts w:ascii="Arial" w:hAnsi="Arial" w:cs="Arial"/>
          <w:color w:val="000000"/>
          <w:sz w:val="20"/>
          <w:szCs w:val="20"/>
          <w:bdr w:val="none" w:sz="0" w:space="0" w:color="auto" w:frame="1"/>
          <w:shd w:val="clear" w:color="auto" w:fill="FFFFFF"/>
        </w:rPr>
        <w:t>Lien and Bond Claims in the 50 States</w:t>
      </w:r>
      <w:r w:rsidR="00203F8F">
        <w:rPr>
          <w:rStyle w:val="Emphasis"/>
          <w:rFonts w:ascii="Arial" w:hAnsi="Arial" w:cs="Arial"/>
          <w:i w:val="0"/>
          <w:color w:val="000000"/>
          <w:sz w:val="20"/>
          <w:szCs w:val="20"/>
          <w:bdr w:val="none" w:sz="0" w:space="0" w:color="auto" w:frame="1"/>
          <w:shd w:val="clear" w:color="auto" w:fill="FFFFFF"/>
        </w:rPr>
        <w:t>. Available through the Foundation of ASA</w:t>
      </w:r>
      <w:r>
        <w:rPr>
          <w:rFonts w:ascii="Arial" w:hAnsi="Arial" w:cs="Arial"/>
          <w:color w:val="000000"/>
          <w:sz w:val="20"/>
          <w:szCs w:val="20"/>
          <w:shd w:val="clear" w:color="auto" w:fill="FFFFFF"/>
        </w:rPr>
        <w:t>’s Contractors’ Knowledge Depot at</w:t>
      </w:r>
      <w:r w:rsidR="00782836">
        <w:rPr>
          <w:rFonts w:ascii="Arial" w:hAnsi="Arial" w:cs="Arial"/>
          <w:color w:val="000000"/>
          <w:sz w:val="20"/>
          <w:szCs w:val="20"/>
          <w:shd w:val="clear" w:color="auto" w:fill="FFFFFF"/>
        </w:rPr>
        <w:t xml:space="preserve"> </w:t>
      </w:r>
      <w:hyperlink r:id="rId17" w:history="1">
        <w:r>
          <w:rPr>
            <w:rStyle w:val="Hyperlink"/>
            <w:rFonts w:ascii="Arial" w:hAnsi="Arial" w:cs="Arial"/>
            <w:color w:val="0066CC"/>
            <w:sz w:val="20"/>
            <w:szCs w:val="20"/>
            <w:bdr w:val="none" w:sz="0" w:space="0" w:color="auto" w:frame="1"/>
            <w:shd w:val="clear" w:color="auto" w:fill="FFFFFF"/>
          </w:rPr>
          <w:t>www.contractorsknowledgedepot.com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 call toll-free 1-888-374-3133.</w:t>
      </w:r>
    </w:p>
    <w:sectPr w:rsidR="00245CBF" w:rsidSect="00DA0394">
      <w:type w:val="continuous"/>
      <w:pgSz w:w="15840" w:h="12240" w:orient="landscape"/>
      <w:pgMar w:top="720" w:right="432" w:bottom="720" w:left="432" w:header="720" w:footer="720" w:gutter="0"/>
      <w:cols w:sep="1"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61" w:rsidRDefault="00861861" w:rsidP="006A632D">
      <w:r>
        <w:separator/>
      </w:r>
    </w:p>
  </w:endnote>
  <w:endnote w:type="continuationSeparator" w:id="0">
    <w:p w:rsidR="00861861" w:rsidRDefault="00861861" w:rsidP="006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0A" w:rsidRPr="00B56670" w:rsidRDefault="00F4340A">
    <w:pPr>
      <w:pStyle w:val="Footer"/>
      <w:rPr>
        <w:rFonts w:ascii="Arial" w:hAnsi="Arial" w:cs="Arial"/>
        <w:color w:val="2F5897" w:themeColor="text2"/>
        <w:sz w:val="16"/>
        <w:szCs w:val="16"/>
      </w:rPr>
    </w:pPr>
    <w:r w:rsidRPr="00BA2681">
      <w:rPr>
        <w:rFonts w:ascii="Arial" w:hAnsi="Arial" w:cs="Arial"/>
        <w:color w:val="2F5897" w:themeColor="text2"/>
        <w:sz w:val="16"/>
        <w:szCs w:val="16"/>
      </w:rPr>
      <w:t xml:space="preserve">Copyright </w:t>
    </w:r>
    <w:r w:rsidR="00C143FB" w:rsidRPr="00BA2681">
      <w:rPr>
        <w:rFonts w:ascii="Arial" w:hAnsi="Arial" w:cs="Arial"/>
        <w:color w:val="2F5897" w:themeColor="text2"/>
        <w:sz w:val="16"/>
        <w:szCs w:val="16"/>
      </w:rPr>
      <w:t xml:space="preserve">© </w:t>
    </w:r>
    <w:r w:rsidRPr="00BA2681">
      <w:rPr>
        <w:rFonts w:ascii="Arial" w:hAnsi="Arial" w:cs="Arial"/>
        <w:color w:val="2F5897" w:themeColor="text2"/>
        <w:sz w:val="16"/>
        <w:szCs w:val="16"/>
      </w:rPr>
      <w:t xml:space="preserve">2013 American Subcontractors Association, Inc., 1004 Duke Street, </w:t>
    </w:r>
    <w:r w:rsidRPr="00B56670">
      <w:rPr>
        <w:rFonts w:ascii="Arial" w:hAnsi="Arial" w:cs="Arial"/>
        <w:color w:val="2F5897" w:themeColor="text2"/>
        <w:sz w:val="16"/>
        <w:szCs w:val="16"/>
      </w:rPr>
      <w:t>Al</w:t>
    </w:r>
    <w:r w:rsidR="00B56670" w:rsidRPr="00B56670">
      <w:rPr>
        <w:rFonts w:ascii="Arial" w:hAnsi="Arial" w:cs="Arial"/>
        <w:color w:val="2F5897" w:themeColor="text2"/>
        <w:sz w:val="16"/>
        <w:szCs w:val="16"/>
      </w:rPr>
      <w:t xml:space="preserve">exandria VA 22314, 703-684-3450, </w:t>
    </w:r>
    <w:hyperlink r:id="rId1" w:history="1">
      <w:r w:rsidR="00B56670" w:rsidRPr="00B56670">
        <w:rPr>
          <w:rStyle w:val="Hyperlink"/>
          <w:rFonts w:ascii="Arial" w:hAnsi="Arial" w:cs="Arial"/>
          <w:color w:val="2F5897" w:themeColor="text2"/>
          <w:sz w:val="16"/>
          <w:szCs w:val="16"/>
        </w:rPr>
        <w:t>ASAOffice@ASA-HQ.com</w:t>
      </w:r>
    </w:hyperlink>
    <w:r w:rsidR="00B56670">
      <w:rPr>
        <w:rFonts w:ascii="Arial" w:hAnsi="Arial" w:cs="Arial"/>
        <w:color w:val="2F5897" w:themeColor="text2"/>
        <w:sz w:val="16"/>
        <w:szCs w:val="16"/>
      </w:rPr>
      <w:t>,</w:t>
    </w:r>
    <w:r w:rsidR="00B56670" w:rsidRPr="00B56670">
      <w:rPr>
        <w:rFonts w:ascii="Arial" w:hAnsi="Arial" w:cs="Arial"/>
        <w:color w:val="2F5897" w:themeColor="text2"/>
        <w:sz w:val="16"/>
        <w:szCs w:val="16"/>
      </w:rPr>
      <w:t xml:space="preserve"> </w:t>
    </w:r>
    <w:hyperlink r:id="rId2" w:history="1">
      <w:r w:rsidRPr="00B56670">
        <w:rPr>
          <w:rStyle w:val="Hyperlink"/>
          <w:rFonts w:ascii="Arial" w:hAnsi="Arial" w:cs="Arial"/>
          <w:color w:val="2F5897" w:themeColor="text2"/>
          <w:sz w:val="16"/>
          <w:szCs w:val="16"/>
        </w:rPr>
        <w:t>www.ASAonline.com</w:t>
      </w:r>
    </w:hyperlink>
    <w:r w:rsidRPr="00B56670">
      <w:rPr>
        <w:rFonts w:ascii="Arial" w:hAnsi="Arial" w:cs="Arial"/>
        <w:color w:val="2F5897" w:themeColor="text2"/>
        <w:sz w:val="16"/>
        <w:szCs w:val="16"/>
      </w:rPr>
      <w:t xml:space="preserve">. </w:t>
    </w:r>
  </w:p>
  <w:p w:rsidR="00F4340A" w:rsidRPr="00B56670" w:rsidRDefault="00F4340A">
    <w:pPr>
      <w:pStyle w:val="Footer"/>
      <w:rPr>
        <w:color w:val="2F5897" w:themeColor="text2"/>
      </w:rPr>
    </w:pPr>
    <w:r w:rsidRPr="00B56670">
      <w:rPr>
        <w:rFonts w:ascii="Arial" w:hAnsi="Arial" w:cs="Arial"/>
        <w:color w:val="2F5897" w:themeColor="text2"/>
        <w:sz w:val="16"/>
        <w:szCs w:val="16"/>
      </w:rPr>
      <w:t xml:space="preserve">Licensed for use by current ASA members. This form is </w:t>
    </w:r>
    <w:r w:rsidRPr="00B56670">
      <w:rPr>
        <w:rFonts w:ascii="Arial" w:hAnsi="Arial" w:cs="Arial"/>
        <w:color w:val="2F5897" w:themeColor="text2"/>
        <w:sz w:val="16"/>
        <w:szCs w:val="16"/>
        <w:u w:val="single"/>
      </w:rPr>
      <w:t>not warranted</w:t>
    </w:r>
    <w:r w:rsidRPr="00B56670">
      <w:rPr>
        <w:rFonts w:ascii="Arial" w:hAnsi="Arial" w:cs="Arial"/>
        <w:color w:val="2F5897" w:themeColor="text2"/>
        <w:sz w:val="16"/>
        <w:szCs w:val="16"/>
      </w:rPr>
      <w:t xml:space="preserve"> and is not legal advice.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61" w:rsidRDefault="00861861" w:rsidP="006A632D">
      <w:r>
        <w:separator/>
      </w:r>
    </w:p>
  </w:footnote>
  <w:footnote w:type="continuationSeparator" w:id="0">
    <w:p w:rsidR="00861861" w:rsidRDefault="00861861" w:rsidP="006A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84" w:rsidRDefault="0033718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6A"/>
    <w:multiLevelType w:val="hybridMultilevel"/>
    <w:tmpl w:val="015A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D12AE"/>
    <w:multiLevelType w:val="hybridMultilevel"/>
    <w:tmpl w:val="9C6A3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7199E"/>
    <w:multiLevelType w:val="hybridMultilevel"/>
    <w:tmpl w:val="FA7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F00CB"/>
    <w:multiLevelType w:val="hybridMultilevel"/>
    <w:tmpl w:val="1492723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E02207B"/>
    <w:multiLevelType w:val="hybridMultilevel"/>
    <w:tmpl w:val="D7DED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D"/>
    <w:rsid w:val="000C64AC"/>
    <w:rsid w:val="000D7B2A"/>
    <w:rsid w:val="00111997"/>
    <w:rsid w:val="00192762"/>
    <w:rsid w:val="00203F8F"/>
    <w:rsid w:val="00245CBF"/>
    <w:rsid w:val="002E6519"/>
    <w:rsid w:val="00337184"/>
    <w:rsid w:val="003378AE"/>
    <w:rsid w:val="003C2F55"/>
    <w:rsid w:val="003D342D"/>
    <w:rsid w:val="00410057"/>
    <w:rsid w:val="004501A9"/>
    <w:rsid w:val="005157F3"/>
    <w:rsid w:val="0054153E"/>
    <w:rsid w:val="00567D32"/>
    <w:rsid w:val="005B78F9"/>
    <w:rsid w:val="006A632D"/>
    <w:rsid w:val="006E032A"/>
    <w:rsid w:val="00782836"/>
    <w:rsid w:val="00786222"/>
    <w:rsid w:val="007C747B"/>
    <w:rsid w:val="007E5F66"/>
    <w:rsid w:val="00830686"/>
    <w:rsid w:val="008530C9"/>
    <w:rsid w:val="00861861"/>
    <w:rsid w:val="009341A8"/>
    <w:rsid w:val="00994875"/>
    <w:rsid w:val="00AB0880"/>
    <w:rsid w:val="00AC7FFE"/>
    <w:rsid w:val="00AF1EFF"/>
    <w:rsid w:val="00B13B35"/>
    <w:rsid w:val="00B42645"/>
    <w:rsid w:val="00B56670"/>
    <w:rsid w:val="00B75710"/>
    <w:rsid w:val="00BA2681"/>
    <w:rsid w:val="00C143FB"/>
    <w:rsid w:val="00C43C21"/>
    <w:rsid w:val="00CC3762"/>
    <w:rsid w:val="00D80FB5"/>
    <w:rsid w:val="00DA0394"/>
    <w:rsid w:val="00DB285A"/>
    <w:rsid w:val="00DB7696"/>
    <w:rsid w:val="00DE039E"/>
    <w:rsid w:val="00DE2931"/>
    <w:rsid w:val="00E130E2"/>
    <w:rsid w:val="00E46F8B"/>
    <w:rsid w:val="00EA34CA"/>
    <w:rsid w:val="00F15C16"/>
    <w:rsid w:val="00F4340A"/>
    <w:rsid w:val="00F9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2D"/>
    <w:pPr>
      <w:tabs>
        <w:tab w:val="center" w:pos="4680"/>
        <w:tab w:val="right" w:pos="9360"/>
      </w:tabs>
    </w:pPr>
  </w:style>
  <w:style w:type="character" w:customStyle="1" w:styleId="HeaderChar">
    <w:name w:val="Header Char"/>
    <w:basedOn w:val="DefaultParagraphFont"/>
    <w:link w:val="Header"/>
    <w:uiPriority w:val="99"/>
    <w:rsid w:val="006A632D"/>
    <w:rPr>
      <w:sz w:val="24"/>
      <w:szCs w:val="24"/>
    </w:rPr>
  </w:style>
  <w:style w:type="paragraph" w:styleId="Footer">
    <w:name w:val="footer"/>
    <w:basedOn w:val="Normal"/>
    <w:link w:val="FooterChar"/>
    <w:uiPriority w:val="99"/>
    <w:rsid w:val="006A632D"/>
    <w:pPr>
      <w:tabs>
        <w:tab w:val="center" w:pos="4680"/>
        <w:tab w:val="right" w:pos="9360"/>
      </w:tabs>
    </w:pPr>
  </w:style>
  <w:style w:type="character" w:customStyle="1" w:styleId="FooterChar">
    <w:name w:val="Footer Char"/>
    <w:basedOn w:val="DefaultParagraphFont"/>
    <w:link w:val="Footer"/>
    <w:uiPriority w:val="99"/>
    <w:rsid w:val="006A632D"/>
    <w:rPr>
      <w:sz w:val="24"/>
      <w:szCs w:val="24"/>
    </w:rPr>
  </w:style>
  <w:style w:type="paragraph" w:styleId="BalloonText">
    <w:name w:val="Balloon Text"/>
    <w:basedOn w:val="Normal"/>
    <w:link w:val="BalloonTextChar"/>
    <w:rsid w:val="00192762"/>
    <w:rPr>
      <w:rFonts w:ascii="Tahoma" w:hAnsi="Tahoma" w:cs="Tahoma"/>
      <w:sz w:val="16"/>
      <w:szCs w:val="16"/>
    </w:rPr>
  </w:style>
  <w:style w:type="character" w:customStyle="1" w:styleId="BalloonTextChar">
    <w:name w:val="Balloon Text Char"/>
    <w:basedOn w:val="DefaultParagraphFont"/>
    <w:link w:val="BalloonText"/>
    <w:rsid w:val="00192762"/>
    <w:rPr>
      <w:rFonts w:ascii="Tahoma" w:hAnsi="Tahoma" w:cs="Tahoma"/>
      <w:sz w:val="16"/>
      <w:szCs w:val="16"/>
    </w:rPr>
  </w:style>
  <w:style w:type="paragraph" w:styleId="IntenseQuote">
    <w:name w:val="Intense Quote"/>
    <w:basedOn w:val="Normal"/>
    <w:next w:val="Normal"/>
    <w:link w:val="IntenseQuoteChar"/>
    <w:uiPriority w:val="30"/>
    <w:qFormat/>
    <w:rsid w:val="00192762"/>
    <w:pPr>
      <w:pBdr>
        <w:bottom w:val="single" w:sz="4" w:space="4" w:color="6076B4" w:themeColor="accent1"/>
      </w:pBdr>
      <w:spacing w:before="200" w:after="280" w:line="276" w:lineRule="auto"/>
      <w:ind w:left="936" w:right="936"/>
    </w:pPr>
    <w:rPr>
      <w:rFonts w:asciiTheme="minorHAnsi" w:eastAsiaTheme="minorEastAsia" w:hAnsiTheme="minorHAnsi" w:cstheme="minorBidi"/>
      <w:b/>
      <w:bCs/>
      <w:i/>
      <w:iCs/>
      <w:color w:val="6076B4" w:themeColor="accent1"/>
      <w:sz w:val="22"/>
      <w:szCs w:val="22"/>
      <w:lang w:eastAsia="ja-JP"/>
    </w:rPr>
  </w:style>
  <w:style w:type="character" w:customStyle="1" w:styleId="IntenseQuoteChar">
    <w:name w:val="Intense Quote Char"/>
    <w:basedOn w:val="DefaultParagraphFont"/>
    <w:link w:val="IntenseQuote"/>
    <w:uiPriority w:val="30"/>
    <w:rsid w:val="00192762"/>
    <w:rPr>
      <w:rFonts w:asciiTheme="minorHAnsi" w:eastAsiaTheme="minorEastAsia" w:hAnsiTheme="minorHAnsi" w:cstheme="minorBidi"/>
      <w:b/>
      <w:bCs/>
      <w:i/>
      <w:iCs/>
      <w:color w:val="6076B4" w:themeColor="accent1"/>
      <w:sz w:val="22"/>
      <w:szCs w:val="22"/>
      <w:lang w:eastAsia="ja-JP"/>
    </w:rPr>
  </w:style>
  <w:style w:type="paragraph" w:styleId="Quote">
    <w:name w:val="Quote"/>
    <w:basedOn w:val="Normal"/>
    <w:next w:val="Normal"/>
    <w:link w:val="QuoteChar"/>
    <w:uiPriority w:val="29"/>
    <w:qFormat/>
    <w:rsid w:val="003371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37184"/>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F4340A"/>
    <w:rPr>
      <w:color w:val="3399FF" w:themeColor="hyperlink"/>
      <w:u w:val="single"/>
    </w:rPr>
  </w:style>
  <w:style w:type="paragraph" w:styleId="ListParagraph">
    <w:name w:val="List Paragraph"/>
    <w:basedOn w:val="Normal"/>
    <w:uiPriority w:val="34"/>
    <w:qFormat/>
    <w:rsid w:val="00C43C21"/>
    <w:pPr>
      <w:ind w:left="720"/>
      <w:contextualSpacing/>
    </w:pPr>
  </w:style>
  <w:style w:type="character" w:styleId="Emphasis">
    <w:name w:val="Emphasis"/>
    <w:basedOn w:val="DefaultParagraphFont"/>
    <w:uiPriority w:val="20"/>
    <w:qFormat/>
    <w:rsid w:val="00245CBF"/>
    <w:rPr>
      <w:i/>
      <w:iCs/>
    </w:rPr>
  </w:style>
  <w:style w:type="character" w:customStyle="1" w:styleId="apple-converted-space">
    <w:name w:val="apple-converted-space"/>
    <w:basedOn w:val="DefaultParagraphFont"/>
    <w:rsid w:val="0024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2D"/>
    <w:pPr>
      <w:tabs>
        <w:tab w:val="center" w:pos="4680"/>
        <w:tab w:val="right" w:pos="9360"/>
      </w:tabs>
    </w:pPr>
  </w:style>
  <w:style w:type="character" w:customStyle="1" w:styleId="HeaderChar">
    <w:name w:val="Header Char"/>
    <w:basedOn w:val="DefaultParagraphFont"/>
    <w:link w:val="Header"/>
    <w:uiPriority w:val="99"/>
    <w:rsid w:val="006A632D"/>
    <w:rPr>
      <w:sz w:val="24"/>
      <w:szCs w:val="24"/>
    </w:rPr>
  </w:style>
  <w:style w:type="paragraph" w:styleId="Footer">
    <w:name w:val="footer"/>
    <w:basedOn w:val="Normal"/>
    <w:link w:val="FooterChar"/>
    <w:uiPriority w:val="99"/>
    <w:rsid w:val="006A632D"/>
    <w:pPr>
      <w:tabs>
        <w:tab w:val="center" w:pos="4680"/>
        <w:tab w:val="right" w:pos="9360"/>
      </w:tabs>
    </w:pPr>
  </w:style>
  <w:style w:type="character" w:customStyle="1" w:styleId="FooterChar">
    <w:name w:val="Footer Char"/>
    <w:basedOn w:val="DefaultParagraphFont"/>
    <w:link w:val="Footer"/>
    <w:uiPriority w:val="99"/>
    <w:rsid w:val="006A632D"/>
    <w:rPr>
      <w:sz w:val="24"/>
      <w:szCs w:val="24"/>
    </w:rPr>
  </w:style>
  <w:style w:type="paragraph" w:styleId="BalloonText">
    <w:name w:val="Balloon Text"/>
    <w:basedOn w:val="Normal"/>
    <w:link w:val="BalloonTextChar"/>
    <w:rsid w:val="00192762"/>
    <w:rPr>
      <w:rFonts w:ascii="Tahoma" w:hAnsi="Tahoma" w:cs="Tahoma"/>
      <w:sz w:val="16"/>
      <w:szCs w:val="16"/>
    </w:rPr>
  </w:style>
  <w:style w:type="character" w:customStyle="1" w:styleId="BalloonTextChar">
    <w:name w:val="Balloon Text Char"/>
    <w:basedOn w:val="DefaultParagraphFont"/>
    <w:link w:val="BalloonText"/>
    <w:rsid w:val="00192762"/>
    <w:rPr>
      <w:rFonts w:ascii="Tahoma" w:hAnsi="Tahoma" w:cs="Tahoma"/>
      <w:sz w:val="16"/>
      <w:szCs w:val="16"/>
    </w:rPr>
  </w:style>
  <w:style w:type="paragraph" w:styleId="IntenseQuote">
    <w:name w:val="Intense Quote"/>
    <w:basedOn w:val="Normal"/>
    <w:next w:val="Normal"/>
    <w:link w:val="IntenseQuoteChar"/>
    <w:uiPriority w:val="30"/>
    <w:qFormat/>
    <w:rsid w:val="00192762"/>
    <w:pPr>
      <w:pBdr>
        <w:bottom w:val="single" w:sz="4" w:space="4" w:color="6076B4" w:themeColor="accent1"/>
      </w:pBdr>
      <w:spacing w:before="200" w:after="280" w:line="276" w:lineRule="auto"/>
      <w:ind w:left="936" w:right="936"/>
    </w:pPr>
    <w:rPr>
      <w:rFonts w:asciiTheme="minorHAnsi" w:eastAsiaTheme="minorEastAsia" w:hAnsiTheme="minorHAnsi" w:cstheme="minorBidi"/>
      <w:b/>
      <w:bCs/>
      <w:i/>
      <w:iCs/>
      <w:color w:val="6076B4" w:themeColor="accent1"/>
      <w:sz w:val="22"/>
      <w:szCs w:val="22"/>
      <w:lang w:eastAsia="ja-JP"/>
    </w:rPr>
  </w:style>
  <w:style w:type="character" w:customStyle="1" w:styleId="IntenseQuoteChar">
    <w:name w:val="Intense Quote Char"/>
    <w:basedOn w:val="DefaultParagraphFont"/>
    <w:link w:val="IntenseQuote"/>
    <w:uiPriority w:val="30"/>
    <w:rsid w:val="00192762"/>
    <w:rPr>
      <w:rFonts w:asciiTheme="minorHAnsi" w:eastAsiaTheme="minorEastAsia" w:hAnsiTheme="minorHAnsi" w:cstheme="minorBidi"/>
      <w:b/>
      <w:bCs/>
      <w:i/>
      <w:iCs/>
      <w:color w:val="6076B4" w:themeColor="accent1"/>
      <w:sz w:val="22"/>
      <w:szCs w:val="22"/>
      <w:lang w:eastAsia="ja-JP"/>
    </w:rPr>
  </w:style>
  <w:style w:type="paragraph" w:styleId="Quote">
    <w:name w:val="Quote"/>
    <w:basedOn w:val="Normal"/>
    <w:next w:val="Normal"/>
    <w:link w:val="QuoteChar"/>
    <w:uiPriority w:val="29"/>
    <w:qFormat/>
    <w:rsid w:val="003371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37184"/>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F4340A"/>
    <w:rPr>
      <w:color w:val="3399FF" w:themeColor="hyperlink"/>
      <w:u w:val="single"/>
    </w:rPr>
  </w:style>
  <w:style w:type="paragraph" w:styleId="ListParagraph">
    <w:name w:val="List Paragraph"/>
    <w:basedOn w:val="Normal"/>
    <w:uiPriority w:val="34"/>
    <w:qFormat/>
    <w:rsid w:val="00C43C21"/>
    <w:pPr>
      <w:ind w:left="720"/>
      <w:contextualSpacing/>
    </w:pPr>
  </w:style>
  <w:style w:type="character" w:styleId="Emphasis">
    <w:name w:val="Emphasis"/>
    <w:basedOn w:val="DefaultParagraphFont"/>
    <w:uiPriority w:val="20"/>
    <w:qFormat/>
    <w:rsid w:val="00245CBF"/>
    <w:rPr>
      <w:i/>
      <w:iCs/>
    </w:rPr>
  </w:style>
  <w:style w:type="character" w:customStyle="1" w:styleId="apple-converted-space">
    <w:name w:val="apple-converted-space"/>
    <w:basedOn w:val="DefaultParagraphFont"/>
    <w:rsid w:val="0024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531">
      <w:bodyDiv w:val="1"/>
      <w:marLeft w:val="0"/>
      <w:marRight w:val="0"/>
      <w:marTop w:val="0"/>
      <w:marBottom w:val="0"/>
      <w:divBdr>
        <w:top w:val="none" w:sz="0" w:space="0" w:color="auto"/>
        <w:left w:val="none" w:sz="0" w:space="0" w:color="auto"/>
        <w:bottom w:val="none" w:sz="0" w:space="0" w:color="auto"/>
        <w:right w:val="none" w:sz="0" w:space="0" w:color="auto"/>
      </w:divBdr>
    </w:div>
    <w:div w:id="312834730">
      <w:bodyDiv w:val="1"/>
      <w:marLeft w:val="0"/>
      <w:marRight w:val="0"/>
      <w:marTop w:val="0"/>
      <w:marBottom w:val="0"/>
      <w:divBdr>
        <w:top w:val="none" w:sz="0" w:space="0" w:color="auto"/>
        <w:left w:val="none" w:sz="0" w:space="0" w:color="auto"/>
        <w:bottom w:val="none" w:sz="0" w:space="0" w:color="auto"/>
        <w:right w:val="none" w:sz="0" w:space="0" w:color="auto"/>
      </w:divBdr>
    </w:div>
    <w:div w:id="402802878">
      <w:bodyDiv w:val="1"/>
      <w:marLeft w:val="0"/>
      <w:marRight w:val="0"/>
      <w:marTop w:val="0"/>
      <w:marBottom w:val="0"/>
      <w:divBdr>
        <w:top w:val="none" w:sz="0" w:space="0" w:color="auto"/>
        <w:left w:val="none" w:sz="0" w:space="0" w:color="auto"/>
        <w:bottom w:val="none" w:sz="0" w:space="0" w:color="auto"/>
        <w:right w:val="none" w:sz="0" w:space="0" w:color="auto"/>
      </w:divBdr>
    </w:div>
    <w:div w:id="728575549">
      <w:bodyDiv w:val="1"/>
      <w:marLeft w:val="0"/>
      <w:marRight w:val="0"/>
      <w:marTop w:val="0"/>
      <w:marBottom w:val="0"/>
      <w:divBdr>
        <w:top w:val="none" w:sz="0" w:space="0" w:color="auto"/>
        <w:left w:val="none" w:sz="0" w:space="0" w:color="auto"/>
        <w:bottom w:val="none" w:sz="0" w:space="0" w:color="auto"/>
        <w:right w:val="none" w:sz="0" w:space="0" w:color="auto"/>
      </w:divBdr>
    </w:div>
    <w:div w:id="8933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ntractorsknowledgedepot.com/" TargetMode="External"/><Relationship Id="rId2" Type="http://schemas.openxmlformats.org/officeDocument/2006/relationships/numbering" Target="numbering.xml"/><Relationship Id="rId16" Type="http://schemas.openxmlformats.org/officeDocument/2006/relationships/hyperlink" Target="http://www.ASAonl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SAonline.com" TargetMode="External"/><Relationship Id="rId1" Type="http://schemas.openxmlformats.org/officeDocument/2006/relationships/hyperlink" Target="mailto:ASAOffice@ASA-HQ.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2EFD-3177-47D2-A52B-5668ED27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Nelson</dc:creator>
  <cp:lastModifiedBy>ASACP</cp:lastModifiedBy>
  <cp:revision>2</cp:revision>
  <cp:lastPrinted>2013-07-10T15:43:00Z</cp:lastPrinted>
  <dcterms:created xsi:type="dcterms:W3CDTF">2014-09-09T15:46:00Z</dcterms:created>
  <dcterms:modified xsi:type="dcterms:W3CDTF">2014-09-09T15:46:00Z</dcterms:modified>
</cp:coreProperties>
</file>